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201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sz w:val="30"/>
          <w:szCs w:val="30"/>
        </w:rPr>
        <w:t>届毕业生初次就业情况通报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根据教育部“关于做好高校毕业生就业质量年度报告编制发布工作”要求（教学司函〔2014〕29号），现将我校2017届毕业生初次就业情况通报如下：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 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2017年，我校毕业生总数3097人，截止8月31日，已就业人数3004人，初次综合就业率为97.00%。其中，已就业并办理《报到证》332人，占10.72%；国家与地方基层项目就业11人，占0.36 %；聘用（灵活就业）2403人，占77.59%；继续深造202人，占6.52%；出国留学或工作23人，占0.74%；自主创业31人，占1.00%；自由职业2人，占0.06%；另有93人暂未就业，占3.00%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分学院分专业就业情况</w:t>
      </w:r>
    </w:p>
    <w:tbl>
      <w:tblPr>
        <w:tblW w:w="824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392"/>
        <w:gridCol w:w="966"/>
        <w:gridCol w:w="1035"/>
        <w:gridCol w:w="690"/>
        <w:gridCol w:w="795"/>
        <w:gridCol w:w="93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就业人数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就业率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学院人数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就业人数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94.81%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97.83%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98.78%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98.89%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97.02%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计算机工程与应用数学学院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99.07%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95.71%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电子信息与电气工程学院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97.50%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96.77%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91.94%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光电信息工程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95.52%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生物与环境工程学院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98.39%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98.28%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96.83%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政法院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97.75%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影视艺术与文化传播学院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95.86%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98.33%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89.29%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98.31%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97.94%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96.32%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96.63%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94.78%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98.68%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98.21%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96.10%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93.55%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100.0%</w:t>
            </w: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97.78%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97.00%</w:t>
            </w:r>
          </w:p>
        </w:tc>
      </w:tr>
    </w:tbl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长沙学院招生与就业指导处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2017年9月3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98A"/>
    <w:multiLevelType w:val="singleLevel"/>
    <w:tmpl w:val="5A1E098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0CEA"/>
    <w:rsid w:val="1FEF0CEA"/>
    <w:rsid w:val="71A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cicrozc55x3_9115_9995_zsjy_25_lay2_p3_show1_styple1"/>
    <w:basedOn w:val="2"/>
    <w:uiPriority w:val="0"/>
    <w:rPr>
      <w:rFonts w:hint="eastAsia" w:ascii="宋体" w:hAnsi="宋体" w:eastAsia="宋体" w:cs="宋体"/>
      <w:color w:val="454545"/>
      <w:spacing w:val="0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2017-11-29T00:58:00Z</dcterms:created>
  <dc:creator>娘娘</dc:creator>
  <cp:lastModifiedBy>娘娘</cp:lastModifiedBy>
  <cp:lastPrinted>2017-11-29T01:06:27Z</cp:lastPrinted>
  <dcterms:modified xsi:type="dcterms:W3CDTF">2017-11-29T01:08:27Z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